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10168" w14:textId="77777777" w:rsidR="00342D35" w:rsidRDefault="000F21FC" w:rsidP="00342D35">
      <w:pPr>
        <w:pStyle w:val="title"/>
      </w:pPr>
      <w:r>
        <w:t>Pine WaveNow Electrochemistry</w:t>
      </w:r>
    </w:p>
    <w:p w14:paraId="414FC594" w14:textId="77777777" w:rsidR="00342D35" w:rsidRPr="00AB6062" w:rsidRDefault="00342D35">
      <w:pPr>
        <w:rPr>
          <w:rFonts w:ascii="Century Schoolbook" w:hAnsi="Century Schoolbook"/>
          <w:sz w:val="12"/>
        </w:rPr>
      </w:pPr>
      <w:bookmarkStart w:id="0" w:name="_GoBack"/>
      <w:bookmarkEnd w:id="0"/>
    </w:p>
    <w:p w14:paraId="2C5B8D97" w14:textId="77777777" w:rsidR="00342D35" w:rsidRPr="00F13618" w:rsidRDefault="000F21FC" w:rsidP="00342D35">
      <w:pPr>
        <w:rPr>
          <w:rFonts w:ascii="Century Schoolbook" w:hAnsi="Century Schoolbook"/>
          <w:b/>
        </w:rPr>
      </w:pPr>
      <w:r w:rsidRPr="00F13618">
        <w:rPr>
          <w:rFonts w:ascii="Century Schoolbook" w:hAnsi="Century Schoolbook"/>
          <w:b/>
        </w:rPr>
        <w:t>Connect electrodes to the aligator clips coming from WaveNow instrument.</w:t>
      </w:r>
    </w:p>
    <w:p w14:paraId="4F53B6FE" w14:textId="77777777" w:rsidR="00342D35" w:rsidRPr="00F13618" w:rsidRDefault="000F21FC">
      <w:pPr>
        <w:rPr>
          <w:rFonts w:ascii="Century Schoolbook" w:hAnsi="Century Schoolbook"/>
        </w:rPr>
      </w:pPr>
      <w:r w:rsidRPr="00F13618">
        <w:rPr>
          <w:rFonts w:ascii="Century Schoolbook" w:hAnsi="Century Schoolbook"/>
        </w:rPr>
        <w:tab/>
        <w:t>Red: Working Electrode (Au, Pt, or C disk).</w:t>
      </w:r>
    </w:p>
    <w:p w14:paraId="599FFFA5" w14:textId="2820E232" w:rsidR="00342D35" w:rsidRPr="00F13618" w:rsidRDefault="000F21FC">
      <w:pPr>
        <w:rPr>
          <w:rFonts w:ascii="Century Schoolbook" w:hAnsi="Century Schoolbook"/>
        </w:rPr>
      </w:pPr>
      <w:r w:rsidRPr="00F13618">
        <w:rPr>
          <w:rFonts w:ascii="Century Schoolbook" w:hAnsi="Century Schoolbook"/>
        </w:rPr>
        <w:tab/>
        <w:t>Green: Auxiliary Electrode (Platinum wire</w:t>
      </w:r>
      <w:r w:rsidR="0052059F">
        <w:rPr>
          <w:rFonts w:ascii="Century Schoolbook" w:hAnsi="Century Schoolbook"/>
        </w:rPr>
        <w:t xml:space="preserve"> or graphite rod</w:t>
      </w:r>
      <w:r w:rsidRPr="00F13618">
        <w:rPr>
          <w:rFonts w:ascii="Century Schoolbook" w:hAnsi="Century Schoolbook"/>
        </w:rPr>
        <w:t>).</w:t>
      </w:r>
    </w:p>
    <w:p w14:paraId="6A1F40D2" w14:textId="344397E8" w:rsidR="00342D35" w:rsidRPr="00F13618" w:rsidRDefault="000F21FC">
      <w:pPr>
        <w:rPr>
          <w:rFonts w:ascii="Century Schoolbook" w:hAnsi="Century Schoolbook"/>
        </w:rPr>
      </w:pPr>
      <w:r w:rsidRPr="00F13618">
        <w:rPr>
          <w:rFonts w:ascii="Century Schoolbook" w:hAnsi="Century Schoolbook"/>
        </w:rPr>
        <w:tab/>
        <w:t>White: Reference Electrode (Ag/AgCl).</w:t>
      </w:r>
    </w:p>
    <w:p w14:paraId="4C0696FF" w14:textId="77777777" w:rsidR="00342D35" w:rsidRPr="00F13618" w:rsidRDefault="000F21FC">
      <w:pPr>
        <w:rPr>
          <w:rFonts w:ascii="Century Schoolbook" w:hAnsi="Century Schoolbook"/>
        </w:rPr>
      </w:pPr>
      <w:r w:rsidRPr="00F13618">
        <w:rPr>
          <w:rFonts w:ascii="Century Schoolbook" w:hAnsi="Century Schoolbook"/>
        </w:rPr>
        <w:tab/>
        <w:t>The orange lead should be plugged into the red banana plug.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50"/>
        <w:gridCol w:w="5226"/>
      </w:tblGrid>
      <w:tr w:rsidR="00342D35" w:rsidRPr="00B1767D" w14:paraId="0B5D81E6" w14:textId="77777777">
        <w:tc>
          <w:tcPr>
            <w:tcW w:w="4788" w:type="dxa"/>
          </w:tcPr>
          <w:p w14:paraId="33DBA541" w14:textId="77777777" w:rsidR="00342D35" w:rsidRPr="00AB6062" w:rsidRDefault="00342D35">
            <w:pPr>
              <w:rPr>
                <w:rFonts w:ascii="Century Schoolbook" w:hAnsi="Century Schoolbook"/>
                <w:sz w:val="12"/>
              </w:rPr>
            </w:pPr>
          </w:p>
          <w:p w14:paraId="0C5F88AE" w14:textId="77777777" w:rsidR="00342D35" w:rsidRPr="00F13618" w:rsidRDefault="000F21FC" w:rsidP="00342D35">
            <w:pPr>
              <w:ind w:right="-72"/>
              <w:rPr>
                <w:rFonts w:ascii="Century Schoolbook" w:hAnsi="Century Schoolbook" w:cs="Times-Bold"/>
                <w:b/>
                <w:bCs/>
                <w:szCs w:val="19"/>
                <w:lang w:bidi="en-US"/>
              </w:rPr>
            </w:pPr>
            <w:r w:rsidRPr="00F13618">
              <w:rPr>
                <w:rFonts w:ascii="Century Schoolbook" w:hAnsi="Century Schoolbook" w:cs="Times-Bold"/>
                <w:b/>
                <w:bCs/>
                <w:szCs w:val="19"/>
                <w:lang w:bidi="en-US"/>
              </w:rPr>
              <w:t>Run the AfterMath software.</w:t>
            </w:r>
          </w:p>
          <w:p w14:paraId="480B3B6D" w14:textId="77777777" w:rsidR="00342D35" w:rsidRPr="00F13618" w:rsidRDefault="000F21FC" w:rsidP="00342D35">
            <w:pPr>
              <w:ind w:right="-66"/>
              <w:rPr>
                <w:rFonts w:ascii="Century Schoolbook" w:hAnsi="Century Schoolbook"/>
              </w:rPr>
            </w:pPr>
            <w:r w:rsidRPr="00F13618">
              <w:rPr>
                <w:rFonts w:ascii="Century Schoolbook" w:hAnsi="Century Schoolbook" w:cs="Times-Bold"/>
                <w:bCs/>
                <w:szCs w:val="19"/>
                <w:lang w:bidi="en-US"/>
              </w:rPr>
              <w:tab/>
              <w:t>Connect the WaveNow Potentiostat to your computer using a USB cable.</w:t>
            </w:r>
          </w:p>
          <w:p w14:paraId="71F3919F" w14:textId="78D4DDDD" w:rsidR="00342D35" w:rsidRPr="00D124B0" w:rsidRDefault="000F21FC" w:rsidP="00342D35">
            <w:pPr>
              <w:ind w:right="-66"/>
              <w:rPr>
                <w:rFonts w:ascii="Century Schoolbook" w:hAnsi="Century Schoolbook"/>
                <w:szCs w:val="22"/>
              </w:rPr>
            </w:pPr>
            <w:r w:rsidRPr="00D124B0">
              <w:rPr>
                <w:rFonts w:ascii="Century Schoolbook" w:hAnsi="Century Schoolbook"/>
                <w:szCs w:val="22"/>
              </w:rPr>
              <w:tab/>
            </w:r>
            <w:r w:rsidR="00D124B0" w:rsidRPr="00D124B0">
              <w:rPr>
                <w:rFonts w:ascii="Century Schoolbook" w:hAnsi="Century Schoolbook"/>
                <w:szCs w:val="22"/>
              </w:rPr>
              <w:t>Connect the power cord, turn on the  potentiostat, wait for the potentiostat to appear in the AfterMath Instrument List, and select Pine WaveNow (0)</w:t>
            </w:r>
            <w:r w:rsidRPr="00D124B0">
              <w:rPr>
                <w:rFonts w:ascii="Century Schoolbook" w:hAnsi="Century Schoolbook"/>
                <w:szCs w:val="22"/>
              </w:rPr>
              <w:t>.</w:t>
            </w:r>
          </w:p>
          <w:p w14:paraId="2826767A" w14:textId="6EEED652" w:rsidR="00342D35" w:rsidRPr="00F13618" w:rsidRDefault="000F21FC" w:rsidP="00342D35">
            <w:pPr>
              <w:ind w:right="-66"/>
              <w:rPr>
                <w:rFonts w:ascii="Century Schoolbook" w:hAnsi="Century Schoolbook"/>
                <w:b/>
              </w:rPr>
            </w:pPr>
            <w:r w:rsidRPr="00F13618">
              <w:rPr>
                <w:rFonts w:ascii="Century Schoolbook" w:hAnsi="Century Schoolbook"/>
              </w:rPr>
              <w:tab/>
            </w:r>
            <w:r w:rsidRPr="00F13618">
              <w:rPr>
                <w:rFonts w:ascii="Century Schoolbook" w:hAnsi="Century Schoolbook"/>
                <w:b/>
              </w:rPr>
              <w:t>Create an empty archive to store your data</w:t>
            </w:r>
            <w:r w:rsidR="00D124B0">
              <w:rPr>
                <w:rFonts w:ascii="Century Schoolbook" w:hAnsi="Century Schoolbook"/>
                <w:b/>
              </w:rPr>
              <w:t xml:space="preserve"> (1)</w:t>
            </w:r>
            <w:r w:rsidRPr="00F13618">
              <w:rPr>
                <w:rFonts w:ascii="Century Schoolbook" w:hAnsi="Century Schoolbook"/>
                <w:b/>
              </w:rPr>
              <w:t>.</w:t>
            </w:r>
          </w:p>
          <w:p w14:paraId="061020FD" w14:textId="6F524241" w:rsidR="00342D35" w:rsidRPr="00D124B0" w:rsidRDefault="00D124B0" w:rsidP="00342D35">
            <w:pPr>
              <w:ind w:right="-66"/>
              <w:rPr>
                <w:rFonts w:ascii="Century Schoolbook" w:hAnsi="Century Schoolbook" w:cs="Times-Bold"/>
                <w:bCs/>
                <w:szCs w:val="22"/>
                <w:lang w:bidi="en-US"/>
              </w:rPr>
            </w:pPr>
            <w:r w:rsidRPr="00D124B0">
              <w:rPr>
                <w:rFonts w:ascii="Century Schoolbook" w:hAnsi="Century Schoolbook"/>
                <w:szCs w:val="22"/>
              </w:rPr>
              <w:tab/>
              <w:t>Choose the desired method, usually “Cyclic Voltammetry” (2), from the Perform an experiment list or from the Experiments menu. For cyclic voltammetry set three segments, the initial, upper, lower, and final volts (make the final equal to the initial), direction (falling = reduction or rising = oxidation) and sweep rate (100 mV/sec).</w:t>
            </w:r>
          </w:p>
        </w:tc>
        <w:tc>
          <w:tcPr>
            <w:tcW w:w="4788" w:type="dxa"/>
          </w:tcPr>
          <w:p w14:paraId="0E9747E1" w14:textId="77777777" w:rsidR="004C06E5" w:rsidRPr="00AB6062" w:rsidRDefault="004C06E5" w:rsidP="004C06E5">
            <w:pPr>
              <w:rPr>
                <w:rFonts w:ascii="Century Schoolbook" w:hAnsi="Century Schoolbook"/>
                <w:sz w:val="12"/>
              </w:rPr>
            </w:pPr>
          </w:p>
          <w:p w14:paraId="33CE45EE" w14:textId="46618197" w:rsidR="00342D35" w:rsidRPr="00F13618" w:rsidRDefault="00D124B0" w:rsidP="00342D35">
            <w:pPr>
              <w:rPr>
                <w:rFonts w:ascii="Century Schoolbook" w:hAnsi="Century Schoolbook" w:cs="Times-Bold"/>
                <w:bCs/>
                <w:szCs w:val="19"/>
                <w:lang w:bidi="en-US"/>
              </w:rPr>
            </w:pPr>
            <w:r>
              <w:rPr>
                <w:rFonts w:ascii="Century Schoolbook" w:hAnsi="Century Schoolbook" w:cs="Times-Bold"/>
                <w:bCs/>
                <w:noProof/>
                <w:szCs w:val="19"/>
              </w:rPr>
              <w:drawing>
                <wp:inline distT="0" distB="0" distL="0" distR="0" wp14:anchorId="019B70D5" wp14:editId="7DF07778">
                  <wp:extent cx="3181350" cy="30746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_CV.jpg"/>
                          <pic:cNvPicPr/>
                        </pic:nvPicPr>
                        <pic:blipFill>
                          <a:blip r:embed="rId9">
                            <a:extLst>
                              <a:ext uri="{28A0092B-C50C-407E-A947-70E740481C1C}">
                                <a14:useLocalDpi xmlns:a14="http://schemas.microsoft.com/office/drawing/2010/main" val="0"/>
                              </a:ext>
                            </a:extLst>
                          </a:blip>
                          <a:stretch>
                            <a:fillRect/>
                          </a:stretch>
                        </pic:blipFill>
                        <pic:spPr>
                          <a:xfrm>
                            <a:off x="0" y="0"/>
                            <a:ext cx="3181350" cy="3074670"/>
                          </a:xfrm>
                          <a:prstGeom prst="rect">
                            <a:avLst/>
                          </a:prstGeom>
                        </pic:spPr>
                      </pic:pic>
                    </a:graphicData>
                  </a:graphic>
                </wp:inline>
              </w:drawing>
            </w:r>
          </w:p>
        </w:tc>
      </w:tr>
    </w:tbl>
    <w:p w14:paraId="1D4CFE24" w14:textId="77777777" w:rsidR="00342D35" w:rsidRPr="00F13618" w:rsidRDefault="000B7F52" w:rsidP="00342D35">
      <w:pPr>
        <w:spacing w:before="120"/>
        <w:jc w:val="center"/>
        <w:rPr>
          <w:rFonts w:ascii="Century Schoolbook" w:hAnsi="Century Schoolbook"/>
        </w:rPr>
      </w:pPr>
      <w:r>
        <w:rPr>
          <w:rFonts w:ascii="Century Schoolbook" w:hAnsi="Century Schoolbook"/>
          <w:noProof/>
        </w:rPr>
        <w:drawing>
          <wp:inline distT="0" distB="0" distL="0" distR="0" wp14:anchorId="2C6A2DB3" wp14:editId="0067EDE5">
            <wp:extent cx="5173345" cy="2853055"/>
            <wp:effectExtent l="0" t="0" r="0" b="0"/>
            <wp:docPr id="50" name="Picture 50" descr="afterma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ftermath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3345" cy="2853055"/>
                    </a:xfrm>
                    <a:prstGeom prst="rect">
                      <a:avLst/>
                    </a:prstGeom>
                    <a:noFill/>
                    <a:ln>
                      <a:noFill/>
                    </a:ln>
                  </pic:spPr>
                </pic:pic>
              </a:graphicData>
            </a:graphic>
          </wp:inline>
        </w:drawing>
      </w:r>
    </w:p>
    <w:p w14:paraId="2DBE7DA7" w14:textId="07B59DC3" w:rsidR="00342D35" w:rsidRPr="00F13618" w:rsidRDefault="000F21FC" w:rsidP="00342D35">
      <w:pPr>
        <w:rPr>
          <w:rFonts w:ascii="Century Schoolbook" w:hAnsi="Century Schoolbook"/>
        </w:rPr>
      </w:pPr>
      <w:r w:rsidRPr="00F13618">
        <w:rPr>
          <w:rFonts w:ascii="Century Schoolbook" w:hAnsi="Century Schoolbook"/>
        </w:rPr>
        <w:tab/>
        <w:t xml:space="preserve">Click on the </w:t>
      </w:r>
      <w:r w:rsidRPr="00DA16C0">
        <w:rPr>
          <w:rFonts w:ascii="Century Schoolbook" w:hAnsi="Century Schoolbook"/>
          <w:b/>
        </w:rPr>
        <w:t>perform</w:t>
      </w:r>
      <w:r w:rsidRPr="00F13618">
        <w:rPr>
          <w:rFonts w:ascii="Century Schoolbook" w:hAnsi="Century Schoolbook"/>
        </w:rPr>
        <w:t xml:space="preserve"> button. (If the button is gray, make sure that the basic parameters are filled in</w:t>
      </w:r>
      <w:r w:rsidR="00B04F8D">
        <w:rPr>
          <w:rFonts w:ascii="Century Schoolbook" w:hAnsi="Century Schoolbook"/>
        </w:rPr>
        <w:t xml:space="preserve"> and</w:t>
      </w:r>
      <w:r w:rsidRPr="00F13618">
        <w:rPr>
          <w:rFonts w:ascii="Century Schoolbook" w:hAnsi="Century Schoolbook"/>
        </w:rPr>
        <w:t xml:space="preserve"> that an instrument has been selected.) </w:t>
      </w:r>
      <w:r w:rsidRPr="00F13618">
        <w:rPr>
          <w:rFonts w:ascii="Century Schoolbook" w:hAnsi="Century Schoolbook" w:cs="Times-Bold"/>
          <w:bCs/>
          <w:szCs w:val="19"/>
          <w:lang w:bidi="en-US"/>
        </w:rPr>
        <w:t xml:space="preserve">The results of the experiment are placed in </w:t>
      </w:r>
      <w:r w:rsidRPr="00F13618">
        <w:rPr>
          <w:rFonts w:ascii="Century Schoolbook" w:hAnsi="Century Schoolbook"/>
        </w:rPr>
        <w:t>the archive.</w:t>
      </w:r>
    </w:p>
    <w:p w14:paraId="7FE72995" w14:textId="77777777" w:rsidR="00342D35" w:rsidRPr="00F13618" w:rsidRDefault="000F21FC" w:rsidP="00342D35">
      <w:pPr>
        <w:rPr>
          <w:rFonts w:ascii="Century Schoolbook" w:hAnsi="Century Schoolbook"/>
        </w:rPr>
      </w:pPr>
      <w:r w:rsidRPr="00F13618">
        <w:rPr>
          <w:rFonts w:ascii="Century Schoolbook" w:hAnsi="Century Schoolbook"/>
        </w:rPr>
        <w:tab/>
        <w:t>To overlay spectra, copy-and-paste a trace from the file list under “voltammogram” or control-drag the words “current vs potential” from the file list onto another plot.</w:t>
      </w:r>
    </w:p>
    <w:p w14:paraId="623348FD" w14:textId="77777777" w:rsidR="00342D35" w:rsidRPr="00F13618" w:rsidRDefault="000F21FC" w:rsidP="00342D35">
      <w:pPr>
        <w:rPr>
          <w:rFonts w:ascii="Century Schoolbook" w:hAnsi="Century Schoolbook"/>
        </w:rPr>
      </w:pPr>
      <w:r w:rsidRPr="0078726A">
        <w:rPr>
          <w:rFonts w:ascii="Century Schoolbook" w:hAnsi="Century Schoolbook" w:cs="Helvetica"/>
          <w:szCs w:val="26"/>
          <w:lang w:bidi="en-US"/>
        </w:rPr>
        <w:lastRenderedPageBreak/>
        <w:tab/>
        <w:t xml:space="preserve">The peak position for a cyclic voltammogram can be obtained by right-clicking on the trace and selecting </w:t>
      </w:r>
      <w:r w:rsidRPr="0078726A">
        <w:rPr>
          <w:rFonts w:ascii="Century Schoolbook" w:hAnsi="Century Schoolbook" w:cs="Helvetica"/>
          <w:b/>
          <w:bCs/>
          <w:szCs w:val="26"/>
          <w:lang w:bidi="en-US"/>
        </w:rPr>
        <w:t>Add Tool » Crosshair</w:t>
      </w:r>
      <w:r w:rsidRPr="0078726A">
        <w:rPr>
          <w:rFonts w:ascii="Century Schoolbook" w:hAnsi="Century Schoolbook" w:cs="Helvetica"/>
          <w:szCs w:val="26"/>
          <w:lang w:bidi="en-US"/>
        </w:rPr>
        <w:t>. Drag the crosshair to the peak. In cyclic voltammetry remember to label both the oxidation and reduction peaks for each trace.</w:t>
      </w:r>
    </w:p>
    <w:p w14:paraId="64840885" w14:textId="77777777" w:rsidR="00342D35" w:rsidRPr="00F13618" w:rsidRDefault="000F21FC" w:rsidP="00342D35">
      <w:pPr>
        <w:rPr>
          <w:rFonts w:ascii="Century Schoolbook" w:hAnsi="Century Schoolbook"/>
        </w:rPr>
      </w:pPr>
      <w:r w:rsidRPr="0078726A">
        <w:rPr>
          <w:rFonts w:ascii="Century Schoolbook" w:hAnsi="Century Schoolbook" w:cs="Helvetica"/>
          <w:szCs w:val="26"/>
          <w:lang w:bidi="en-US"/>
        </w:rPr>
        <w:tab/>
        <w:t xml:space="preserve">The peak current for a cyclic voltammogram can be obtained by right-clicking on the trace and selecting </w:t>
      </w:r>
      <w:r w:rsidRPr="0078726A">
        <w:rPr>
          <w:rFonts w:ascii="Century Schoolbook" w:hAnsi="Century Schoolbook" w:cs="Helvetica"/>
          <w:b/>
          <w:bCs/>
          <w:szCs w:val="26"/>
          <w:lang w:bidi="en-US"/>
        </w:rPr>
        <w:t>Add Tool » Peak Height</w:t>
      </w:r>
      <w:r w:rsidRPr="0078726A">
        <w:rPr>
          <w:rFonts w:ascii="Century Schoolbook" w:hAnsi="Century Schoolbook" w:cs="Helvetica"/>
          <w:szCs w:val="26"/>
          <w:lang w:bidi="en-US"/>
        </w:rPr>
        <w:t>. This places a peak measurement tool on the voltammogram. You can move the position of the peak tool and adjust the baseline using the control points on the tool.</w:t>
      </w:r>
    </w:p>
    <w:p w14:paraId="3847C4C3" w14:textId="77777777" w:rsidR="00342D35" w:rsidRPr="0078726A" w:rsidRDefault="000B7F52" w:rsidP="00342D35">
      <w:pPr>
        <w:jc w:val="center"/>
        <w:rPr>
          <w:rFonts w:ascii="Century Schoolbook" w:hAnsi="Century Schoolbook"/>
        </w:rPr>
      </w:pPr>
      <w:r>
        <w:rPr>
          <w:rFonts w:ascii="Century Schoolbook" w:hAnsi="Century Schoolbook"/>
          <w:noProof/>
        </w:rPr>
        <w:drawing>
          <wp:inline distT="0" distB="0" distL="0" distR="0" wp14:anchorId="2E1E10B5" wp14:editId="5273B12B">
            <wp:extent cx="2472055" cy="1574800"/>
            <wp:effectExtent l="0" t="0" r="0" b="0"/>
            <wp:docPr id="51" name="Picture 51" descr="Screen shot 2011-01-16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reen shot 2011-01-16 at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2055" cy="1574800"/>
                    </a:xfrm>
                    <a:prstGeom prst="rect">
                      <a:avLst/>
                    </a:prstGeom>
                    <a:noFill/>
                    <a:ln>
                      <a:noFill/>
                    </a:ln>
                  </pic:spPr>
                </pic:pic>
              </a:graphicData>
            </a:graphic>
          </wp:inline>
        </w:drawing>
      </w:r>
      <w:r w:rsidR="000F21FC" w:rsidRPr="0078726A">
        <w:rPr>
          <w:rFonts w:ascii="Century Schoolbook" w:hAnsi="Century Schoolbook"/>
        </w:rPr>
        <w:tab/>
      </w:r>
      <w:r>
        <w:rPr>
          <w:rFonts w:ascii="Century Schoolbook" w:hAnsi="Century Schoolbook"/>
          <w:noProof/>
        </w:rPr>
        <w:drawing>
          <wp:inline distT="0" distB="0" distL="0" distR="0" wp14:anchorId="3B609670" wp14:editId="03781C09">
            <wp:extent cx="2463800" cy="1583055"/>
            <wp:effectExtent l="0" t="0" r="0" b="0"/>
            <wp:docPr id="52" name="Picture 52" descr="Screen shot 2011-01-16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creen shot 2011-01-16 at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1583055"/>
                    </a:xfrm>
                    <a:prstGeom prst="rect">
                      <a:avLst/>
                    </a:prstGeom>
                    <a:noFill/>
                    <a:ln>
                      <a:noFill/>
                    </a:ln>
                  </pic:spPr>
                </pic:pic>
              </a:graphicData>
            </a:graphic>
          </wp:inline>
        </w:drawing>
      </w:r>
    </w:p>
    <w:p w14:paraId="34543CA4" w14:textId="77777777" w:rsidR="00342D35" w:rsidRPr="0078726A" w:rsidRDefault="000F21FC" w:rsidP="00342D35">
      <w:pPr>
        <w:rPr>
          <w:rFonts w:ascii="Century Schoolbook" w:hAnsi="Century Schoolbook"/>
        </w:rPr>
      </w:pPr>
      <w:r w:rsidRPr="0078726A">
        <w:rPr>
          <w:rFonts w:ascii="Century Schoolbook" w:hAnsi="Century Schoolbook" w:cs="Helvetica"/>
          <w:szCs w:val="26"/>
          <w:lang w:bidi="en-US"/>
        </w:rPr>
        <w:tab/>
        <w:t>At the top of every plot there is a toolbar. The first three tools on the left side of this toolbar may be used to select entire curves (traces), portions of traces, or individual points.</w:t>
      </w:r>
    </w:p>
    <w:p w14:paraId="1EA72437" w14:textId="77777777" w:rsidR="00342D35" w:rsidRPr="0078726A" w:rsidRDefault="000B7F52" w:rsidP="00342D35">
      <w:pPr>
        <w:jc w:val="center"/>
        <w:rPr>
          <w:rFonts w:ascii="Century Schoolbook" w:hAnsi="Century Schoolbook"/>
        </w:rPr>
      </w:pPr>
      <w:r>
        <w:rPr>
          <w:rFonts w:ascii="Century Schoolbook" w:hAnsi="Century Schoolbook"/>
          <w:noProof/>
        </w:rPr>
        <w:drawing>
          <wp:inline distT="0" distB="0" distL="0" distR="0" wp14:anchorId="31D8347A" wp14:editId="4E61F06E">
            <wp:extent cx="3065145" cy="575945"/>
            <wp:effectExtent l="0" t="0" r="0" b="0"/>
            <wp:docPr id="53" name="Picture 53" descr="selection_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ection_too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5145" cy="575945"/>
                    </a:xfrm>
                    <a:prstGeom prst="rect">
                      <a:avLst/>
                    </a:prstGeom>
                    <a:noFill/>
                    <a:ln>
                      <a:noFill/>
                    </a:ln>
                  </pic:spPr>
                </pic:pic>
              </a:graphicData>
            </a:graphic>
          </wp:inline>
        </w:drawing>
      </w:r>
    </w:p>
    <w:p w14:paraId="0D251425" w14:textId="77777777" w:rsidR="00342D35" w:rsidRPr="00F13618" w:rsidRDefault="000F21FC" w:rsidP="00342D35">
      <w:pPr>
        <w:rPr>
          <w:rFonts w:ascii="Century Schoolbook" w:hAnsi="Century Schoolbook"/>
        </w:rPr>
      </w:pPr>
      <w:r w:rsidRPr="00F13618">
        <w:rPr>
          <w:rFonts w:ascii="Century Schoolbook" w:hAnsi="Century Schoolbook"/>
        </w:rPr>
        <w:tab/>
        <w:t xml:space="preserve">To label a point, use the point selector tool to right click on the point. A “Point Properties” dialog will appear. Click the </w:t>
      </w:r>
      <w:r w:rsidRPr="0078726A">
        <w:rPr>
          <w:rFonts w:ascii="Century Schoolbook" w:hAnsi="Century Schoolbook"/>
          <w:i/>
        </w:rPr>
        <w:t>x</w:t>
      </w:r>
      <w:r w:rsidRPr="00F13618">
        <w:rPr>
          <w:rFonts w:ascii="Century Schoolbook" w:hAnsi="Century Schoolbook"/>
        </w:rPr>
        <w:t xml:space="preserve"> or </w:t>
      </w:r>
      <w:r w:rsidRPr="0078726A">
        <w:rPr>
          <w:rFonts w:ascii="Century Schoolbook" w:hAnsi="Century Schoolbook"/>
          <w:i/>
        </w:rPr>
        <w:t>y</w:t>
      </w:r>
      <w:r w:rsidRPr="00F13618">
        <w:rPr>
          <w:rFonts w:ascii="Century Schoolbook" w:hAnsi="Century Schoolbook"/>
        </w:rPr>
        <w:t xml:space="preserve"> selection box to display that value. </w:t>
      </w:r>
    </w:p>
    <w:p w14:paraId="628291D3" w14:textId="77777777" w:rsidR="00342D35" w:rsidRPr="00F13618" w:rsidRDefault="000F21FC" w:rsidP="00342D35">
      <w:pPr>
        <w:pStyle w:val="subhead"/>
      </w:pPr>
      <w:r w:rsidRPr="00F13618">
        <w:t xml:space="preserve"> References</w:t>
      </w:r>
    </w:p>
    <w:p w14:paraId="53C1B336" w14:textId="77777777" w:rsidR="00702665" w:rsidRDefault="000F21FC" w:rsidP="00342D35">
      <w:pPr>
        <w:jc w:val="left"/>
        <w:rPr>
          <w:rFonts w:ascii="Century Schoolbook" w:hAnsi="Century Schoolbook"/>
          <w:color w:val="000000"/>
        </w:rPr>
      </w:pPr>
      <w:r w:rsidRPr="00F13618">
        <w:rPr>
          <w:rFonts w:ascii="Century Schoolbook" w:hAnsi="Century Schoolbook"/>
          <w:color w:val="000000"/>
        </w:rPr>
        <w:tab/>
      </w:r>
      <w:r w:rsidRPr="00F13618">
        <w:rPr>
          <w:rFonts w:ascii="Century Schoolbook" w:hAnsi="Century Schoolbook"/>
          <w:i/>
          <w:color w:val="000000"/>
        </w:rPr>
        <w:t>WaveNow Users Manual</w:t>
      </w:r>
      <w:r w:rsidRPr="00F13618">
        <w:rPr>
          <w:rFonts w:ascii="Century Schoolbook" w:hAnsi="Century Schoolbook"/>
          <w:color w:val="000000"/>
        </w:rPr>
        <w:t xml:space="preserve"> at </w:t>
      </w:r>
    </w:p>
    <w:p w14:paraId="4621494F" w14:textId="5DE7BBBF" w:rsidR="00342D35" w:rsidRPr="00F13618" w:rsidRDefault="00702665" w:rsidP="00342D35">
      <w:pPr>
        <w:jc w:val="left"/>
        <w:rPr>
          <w:rFonts w:ascii="Century Schoolbook" w:hAnsi="Century Schoolbook"/>
          <w:color w:val="000000"/>
          <w:lang w:bidi="en-US"/>
        </w:rPr>
      </w:pPr>
      <w:r>
        <w:rPr>
          <w:rFonts w:ascii="Century Schoolbook" w:hAnsi="Century Schoolbook"/>
          <w:color w:val="000000"/>
        </w:rPr>
        <w:tab/>
      </w:r>
      <w:r>
        <w:rPr>
          <w:rFonts w:ascii="Century Schoolbook" w:hAnsi="Century Schoolbook"/>
          <w:color w:val="000000"/>
        </w:rPr>
        <w:tab/>
      </w:r>
      <w:r w:rsidRPr="00702665">
        <w:t>https://www.pineresearch.com/shop/knowledgebase/pine-aftermath-user/</w:t>
      </w:r>
    </w:p>
    <w:p w14:paraId="060626A2" w14:textId="77777777" w:rsidR="00342D35" w:rsidRPr="00F13618" w:rsidRDefault="000F21FC" w:rsidP="00342D35">
      <w:pPr>
        <w:jc w:val="left"/>
        <w:rPr>
          <w:rFonts w:ascii="Century Schoolbook" w:hAnsi="Century Schoolbook"/>
          <w:color w:val="000000"/>
          <w:lang w:bidi="en-US"/>
        </w:rPr>
      </w:pPr>
      <w:r w:rsidRPr="00F13618">
        <w:rPr>
          <w:rFonts w:ascii="Century Schoolbook" w:hAnsi="Century Schoolbook"/>
          <w:color w:val="000000"/>
          <w:lang w:bidi="en-US"/>
        </w:rPr>
        <w:tab/>
      </w:r>
      <w:r w:rsidRPr="00F13618">
        <w:rPr>
          <w:rFonts w:ascii="Century Schoolbook" w:hAnsi="Century Schoolbook"/>
          <w:i/>
          <w:color w:val="000000"/>
          <w:lang w:bidi="en-US"/>
        </w:rPr>
        <w:t>Variables in Cyclic Voltammetry</w:t>
      </w:r>
      <w:r w:rsidRPr="00F13618">
        <w:rPr>
          <w:rFonts w:ascii="Century Schoolbook" w:hAnsi="Century Schoolbook"/>
          <w:color w:val="000000"/>
          <w:lang w:bidi="en-US"/>
        </w:rPr>
        <w:t xml:space="preserve"> at http://chemistry.beloit.edu/classes/Chem220/cyclic</w:t>
      </w:r>
    </w:p>
    <w:p w14:paraId="3504BA8B" w14:textId="77777777" w:rsidR="00342D35" w:rsidRPr="00F13618" w:rsidRDefault="00342D35" w:rsidP="00342D35">
      <w:pPr>
        <w:jc w:val="center"/>
        <w:rPr>
          <w:rFonts w:ascii="Century Schoolbook" w:hAnsi="Century Schoolbook"/>
          <w:color w:val="000000"/>
        </w:rPr>
      </w:pPr>
    </w:p>
    <w:p w14:paraId="117527FD" w14:textId="77777777" w:rsidR="00342D35" w:rsidRPr="00F13618" w:rsidRDefault="000B7F52" w:rsidP="00342D35">
      <w:pPr>
        <w:jc w:val="center"/>
        <w:rPr>
          <w:rFonts w:ascii="New York" w:hAnsi="New York"/>
        </w:rPr>
      </w:pPr>
      <w:r>
        <w:rPr>
          <w:rFonts w:ascii="New York" w:hAnsi="New York"/>
          <w:noProof/>
        </w:rPr>
        <w:drawing>
          <wp:inline distT="0" distB="0" distL="0" distR="0" wp14:anchorId="1E518A13" wp14:editId="392AB3C6">
            <wp:extent cx="4572000" cy="25571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557145"/>
                    </a:xfrm>
                    <a:prstGeom prst="rect">
                      <a:avLst/>
                    </a:prstGeom>
                    <a:noFill/>
                    <a:ln>
                      <a:noFill/>
                    </a:ln>
                  </pic:spPr>
                </pic:pic>
              </a:graphicData>
            </a:graphic>
          </wp:inline>
        </w:drawing>
      </w:r>
    </w:p>
    <w:sectPr w:rsidR="00342D35" w:rsidRPr="00F13618" w:rsidSect="008C5683">
      <w:headerReference w:type="default" r:id="rId15"/>
      <w:pgSz w:w="12240" w:h="15840"/>
      <w:pgMar w:top="1008" w:right="864" w:bottom="720" w:left="201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EAACF" w14:textId="77777777" w:rsidR="001B04D7" w:rsidRDefault="001B04D7">
      <w:pPr>
        <w:spacing w:before="0"/>
      </w:pPr>
      <w:r>
        <w:separator/>
      </w:r>
    </w:p>
  </w:endnote>
  <w:endnote w:type="continuationSeparator" w:id="0">
    <w:p w14:paraId="410DA2CB" w14:textId="77777777" w:rsidR="001B04D7" w:rsidRDefault="001B04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 Century Schlbk">
    <w:altName w:val="Century Schoolbook"/>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extile">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altName w:val="Cambria Italic"/>
    <w:panose1 w:val="02040503050406030204"/>
    <w:charset w:val="00"/>
    <w:family w:val="roman"/>
    <w:notTrueType/>
    <w:pitch w:val="default"/>
  </w:font>
  <w:font w:name="Century Schoolbook">
    <w:panose1 w:val="02040604050505020304"/>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F43D0" w14:textId="77777777" w:rsidR="001B04D7" w:rsidRDefault="001B04D7">
      <w:pPr>
        <w:spacing w:before="0"/>
      </w:pPr>
      <w:r>
        <w:separator/>
      </w:r>
    </w:p>
  </w:footnote>
  <w:footnote w:type="continuationSeparator" w:id="0">
    <w:p w14:paraId="36294EA9" w14:textId="77777777" w:rsidR="001B04D7" w:rsidRDefault="001B04D7">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6F8B" w14:textId="004E25AA" w:rsidR="008C5683" w:rsidRDefault="008C5683">
    <w:pPr>
      <w:pStyle w:val="Header"/>
    </w:pPr>
    <w:r>
      <w:t>Beloit College</w:t>
    </w:r>
    <w:r>
      <w:tab/>
    </w:r>
    <w:r>
      <w:tab/>
      <w:t>Cyclic Voltammetry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531C4"/>
    <w:multiLevelType w:val="hybridMultilevel"/>
    <w:tmpl w:val="15084A7C"/>
    <w:lvl w:ilvl="0" w:tplc="B0B2393C">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
    <w:nsid w:val="775A1C00"/>
    <w:multiLevelType w:val="hybridMultilevel"/>
    <w:tmpl w:val="1092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bordersDoNotSurroundHeader/>
  <w:bordersDoNotSurroundFooter/>
  <w:proofState w:spelling="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doNotExpandShiftReturn/>
    <w:suppressSpacingAtTopOfPage/>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62"/>
    <w:rsid w:val="00000E41"/>
    <w:rsid w:val="00002933"/>
    <w:rsid w:val="000112DC"/>
    <w:rsid w:val="00037AAF"/>
    <w:rsid w:val="0004369D"/>
    <w:rsid w:val="00046EFD"/>
    <w:rsid w:val="00086012"/>
    <w:rsid w:val="00087320"/>
    <w:rsid w:val="000A10F5"/>
    <w:rsid w:val="000B7F52"/>
    <w:rsid w:val="000D3746"/>
    <w:rsid w:val="000E49F7"/>
    <w:rsid w:val="000F21FC"/>
    <w:rsid w:val="000F49FF"/>
    <w:rsid w:val="0010192B"/>
    <w:rsid w:val="00106F49"/>
    <w:rsid w:val="00115D17"/>
    <w:rsid w:val="001350D1"/>
    <w:rsid w:val="001373DA"/>
    <w:rsid w:val="00152CC2"/>
    <w:rsid w:val="00190AA4"/>
    <w:rsid w:val="0019449D"/>
    <w:rsid w:val="001A5800"/>
    <w:rsid w:val="001A5BEC"/>
    <w:rsid w:val="001A7806"/>
    <w:rsid w:val="001B04D7"/>
    <w:rsid w:val="001B22C0"/>
    <w:rsid w:val="001C2566"/>
    <w:rsid w:val="001D3C3B"/>
    <w:rsid w:val="001E0481"/>
    <w:rsid w:val="001E4421"/>
    <w:rsid w:val="001F38A5"/>
    <w:rsid w:val="001F40FC"/>
    <w:rsid w:val="001F6981"/>
    <w:rsid w:val="00211146"/>
    <w:rsid w:val="00215816"/>
    <w:rsid w:val="00216ADA"/>
    <w:rsid w:val="00233A51"/>
    <w:rsid w:val="002505C4"/>
    <w:rsid w:val="002614CC"/>
    <w:rsid w:val="002649FD"/>
    <w:rsid w:val="00266A38"/>
    <w:rsid w:val="00285740"/>
    <w:rsid w:val="00291C82"/>
    <w:rsid w:val="002947BA"/>
    <w:rsid w:val="002A1733"/>
    <w:rsid w:val="002A330B"/>
    <w:rsid w:val="002C4552"/>
    <w:rsid w:val="002C6F85"/>
    <w:rsid w:val="002E4FC2"/>
    <w:rsid w:val="002E5194"/>
    <w:rsid w:val="003019E6"/>
    <w:rsid w:val="00307A19"/>
    <w:rsid w:val="0031196D"/>
    <w:rsid w:val="00313AC4"/>
    <w:rsid w:val="00316A94"/>
    <w:rsid w:val="00316C19"/>
    <w:rsid w:val="00321B70"/>
    <w:rsid w:val="00342D35"/>
    <w:rsid w:val="00347450"/>
    <w:rsid w:val="003505B5"/>
    <w:rsid w:val="00351099"/>
    <w:rsid w:val="00363420"/>
    <w:rsid w:val="00383955"/>
    <w:rsid w:val="003A3DC8"/>
    <w:rsid w:val="003C29F9"/>
    <w:rsid w:val="003D1173"/>
    <w:rsid w:val="003E4962"/>
    <w:rsid w:val="00411F9E"/>
    <w:rsid w:val="004206D8"/>
    <w:rsid w:val="0043236F"/>
    <w:rsid w:val="00433D45"/>
    <w:rsid w:val="00446269"/>
    <w:rsid w:val="0046463B"/>
    <w:rsid w:val="004918D6"/>
    <w:rsid w:val="004935D9"/>
    <w:rsid w:val="004A0F54"/>
    <w:rsid w:val="004A1F4E"/>
    <w:rsid w:val="004C06E5"/>
    <w:rsid w:val="004D50EA"/>
    <w:rsid w:val="0052059F"/>
    <w:rsid w:val="00523F16"/>
    <w:rsid w:val="00525336"/>
    <w:rsid w:val="00547308"/>
    <w:rsid w:val="0057687B"/>
    <w:rsid w:val="00581655"/>
    <w:rsid w:val="00586AB8"/>
    <w:rsid w:val="005D29BD"/>
    <w:rsid w:val="005D5445"/>
    <w:rsid w:val="005D57A2"/>
    <w:rsid w:val="00600308"/>
    <w:rsid w:val="0062104C"/>
    <w:rsid w:val="00644BED"/>
    <w:rsid w:val="00652F16"/>
    <w:rsid w:val="00656911"/>
    <w:rsid w:val="006609A1"/>
    <w:rsid w:val="0069195E"/>
    <w:rsid w:val="006A1DC5"/>
    <w:rsid w:val="006A2590"/>
    <w:rsid w:val="006B2E6C"/>
    <w:rsid w:val="006D76BC"/>
    <w:rsid w:val="006E06BF"/>
    <w:rsid w:val="006E5839"/>
    <w:rsid w:val="006F1EE6"/>
    <w:rsid w:val="006F5185"/>
    <w:rsid w:val="00702665"/>
    <w:rsid w:val="00727102"/>
    <w:rsid w:val="007312D2"/>
    <w:rsid w:val="00751579"/>
    <w:rsid w:val="00754BFA"/>
    <w:rsid w:val="00761103"/>
    <w:rsid w:val="00763E9E"/>
    <w:rsid w:val="00764158"/>
    <w:rsid w:val="007829D3"/>
    <w:rsid w:val="00787140"/>
    <w:rsid w:val="007C1E47"/>
    <w:rsid w:val="007C3F82"/>
    <w:rsid w:val="007E0DAD"/>
    <w:rsid w:val="00802DD3"/>
    <w:rsid w:val="008171B2"/>
    <w:rsid w:val="00822108"/>
    <w:rsid w:val="0082743A"/>
    <w:rsid w:val="008409C1"/>
    <w:rsid w:val="00845DC7"/>
    <w:rsid w:val="00850F09"/>
    <w:rsid w:val="00862A70"/>
    <w:rsid w:val="008774D4"/>
    <w:rsid w:val="008846D4"/>
    <w:rsid w:val="008A7A18"/>
    <w:rsid w:val="008B7BCE"/>
    <w:rsid w:val="008C4141"/>
    <w:rsid w:val="008C5683"/>
    <w:rsid w:val="008C6249"/>
    <w:rsid w:val="008E1A57"/>
    <w:rsid w:val="008F0E39"/>
    <w:rsid w:val="0090495C"/>
    <w:rsid w:val="00921129"/>
    <w:rsid w:val="00933317"/>
    <w:rsid w:val="00951B93"/>
    <w:rsid w:val="00962A27"/>
    <w:rsid w:val="00963C8C"/>
    <w:rsid w:val="009644AB"/>
    <w:rsid w:val="00977B7A"/>
    <w:rsid w:val="009834BA"/>
    <w:rsid w:val="009D1679"/>
    <w:rsid w:val="009D42EA"/>
    <w:rsid w:val="009E0D6C"/>
    <w:rsid w:val="009E483B"/>
    <w:rsid w:val="009E4DA5"/>
    <w:rsid w:val="009F00DD"/>
    <w:rsid w:val="00A00435"/>
    <w:rsid w:val="00A025E4"/>
    <w:rsid w:val="00A069B4"/>
    <w:rsid w:val="00A07E4E"/>
    <w:rsid w:val="00A212B3"/>
    <w:rsid w:val="00A30FAA"/>
    <w:rsid w:val="00A3603C"/>
    <w:rsid w:val="00A4278A"/>
    <w:rsid w:val="00A45DF6"/>
    <w:rsid w:val="00A622EF"/>
    <w:rsid w:val="00A6320B"/>
    <w:rsid w:val="00A8153B"/>
    <w:rsid w:val="00A97EA3"/>
    <w:rsid w:val="00AB6062"/>
    <w:rsid w:val="00AC26AB"/>
    <w:rsid w:val="00AC461D"/>
    <w:rsid w:val="00AC7CDF"/>
    <w:rsid w:val="00AD64B2"/>
    <w:rsid w:val="00AE1EFE"/>
    <w:rsid w:val="00AF28F4"/>
    <w:rsid w:val="00B04F8D"/>
    <w:rsid w:val="00B053E7"/>
    <w:rsid w:val="00B1767D"/>
    <w:rsid w:val="00B30D29"/>
    <w:rsid w:val="00B374AE"/>
    <w:rsid w:val="00B76679"/>
    <w:rsid w:val="00B8287D"/>
    <w:rsid w:val="00B84C76"/>
    <w:rsid w:val="00B979A5"/>
    <w:rsid w:val="00BB5D83"/>
    <w:rsid w:val="00BC336F"/>
    <w:rsid w:val="00C00654"/>
    <w:rsid w:val="00C021E6"/>
    <w:rsid w:val="00C2484B"/>
    <w:rsid w:val="00C30137"/>
    <w:rsid w:val="00C4336D"/>
    <w:rsid w:val="00C56966"/>
    <w:rsid w:val="00C74ACF"/>
    <w:rsid w:val="00C77C77"/>
    <w:rsid w:val="00C814CC"/>
    <w:rsid w:val="00CA0813"/>
    <w:rsid w:val="00CA2285"/>
    <w:rsid w:val="00CE691E"/>
    <w:rsid w:val="00D124B0"/>
    <w:rsid w:val="00D1443D"/>
    <w:rsid w:val="00D30919"/>
    <w:rsid w:val="00D40203"/>
    <w:rsid w:val="00D423A7"/>
    <w:rsid w:val="00D544AA"/>
    <w:rsid w:val="00D66A39"/>
    <w:rsid w:val="00D91A80"/>
    <w:rsid w:val="00D93894"/>
    <w:rsid w:val="00DA16C0"/>
    <w:rsid w:val="00DB37A9"/>
    <w:rsid w:val="00DB4183"/>
    <w:rsid w:val="00DF19D0"/>
    <w:rsid w:val="00DF3A68"/>
    <w:rsid w:val="00DF5791"/>
    <w:rsid w:val="00E03BDE"/>
    <w:rsid w:val="00E20FF5"/>
    <w:rsid w:val="00E3103B"/>
    <w:rsid w:val="00E63423"/>
    <w:rsid w:val="00E635E6"/>
    <w:rsid w:val="00E67066"/>
    <w:rsid w:val="00E97A38"/>
    <w:rsid w:val="00EB2F31"/>
    <w:rsid w:val="00EB3675"/>
    <w:rsid w:val="00EB50DB"/>
    <w:rsid w:val="00ED2ACF"/>
    <w:rsid w:val="00ED62F2"/>
    <w:rsid w:val="00EF53AD"/>
    <w:rsid w:val="00EF55D0"/>
    <w:rsid w:val="00F06505"/>
    <w:rsid w:val="00F467D0"/>
    <w:rsid w:val="00F666BB"/>
    <w:rsid w:val="00F74A19"/>
    <w:rsid w:val="00F75E2B"/>
    <w:rsid w:val="00F853A3"/>
    <w:rsid w:val="00F8791E"/>
    <w:rsid w:val="00F91DBA"/>
    <w:rsid w:val="00FB1746"/>
    <w:rsid w:val="00FB178C"/>
    <w:rsid w:val="00FB234B"/>
    <w:rsid w:val="00FB7A96"/>
    <w:rsid w:val="00FD6A40"/>
    <w:rsid w:val="00FE1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oNotEmbedSmartTags/>
  <w:decimalSymbol w:val="."/>
  <w:listSeparator w:val=","/>
  <w14:docId w14:val="7E569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20"/>
    <w:pPr>
      <w:tabs>
        <w:tab w:val="left" w:pos="360"/>
      </w:tabs>
      <w:spacing w:before="40"/>
      <w:jc w:val="both"/>
    </w:pPr>
    <w:rPr>
      <w:rFonts w:ascii="New Century Schlbk" w:hAnsi="New Century Schlbk"/>
      <w:sz w:val="22"/>
    </w:rPr>
  </w:style>
  <w:style w:type="paragraph" w:styleId="Heading1">
    <w:name w:val="heading 1"/>
    <w:basedOn w:val="Normal"/>
    <w:next w:val="Normal"/>
    <w:qFormat/>
    <w:pPr>
      <w:ind w:left="360" w:hanging="360"/>
      <w:outlineLvl w:val="0"/>
    </w:pPr>
  </w:style>
  <w:style w:type="paragraph" w:styleId="Heading2">
    <w:name w:val="heading 2"/>
    <w:basedOn w:val="Normal"/>
    <w:next w:val="Normal"/>
    <w:qFormat/>
    <w:pPr>
      <w:ind w:left="7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left" w:leader="dot" w:pos="8280"/>
        <w:tab w:val="right" w:pos="8640"/>
      </w:tabs>
      <w:ind w:right="720"/>
    </w:pPr>
  </w:style>
  <w:style w:type="paragraph" w:styleId="Footer">
    <w:name w:val="footer"/>
    <w:basedOn w:val="Normal"/>
    <w:pPr>
      <w:tabs>
        <w:tab w:val="clear" w:pos="360"/>
        <w:tab w:val="center" w:pos="4680"/>
        <w:tab w:val="right" w:pos="9360"/>
      </w:tabs>
    </w:pPr>
    <w:rPr>
      <w:rFonts w:ascii="Helvetica" w:hAnsi="Helvetica"/>
    </w:rPr>
  </w:style>
  <w:style w:type="paragraph" w:styleId="Header">
    <w:name w:val="header"/>
    <w:basedOn w:val="Normal"/>
    <w:pPr>
      <w:tabs>
        <w:tab w:val="clear" w:pos="360"/>
        <w:tab w:val="center" w:pos="4680"/>
        <w:tab w:val="right" w:pos="9360"/>
      </w:tabs>
    </w:pPr>
    <w:rPr>
      <w:rFonts w:ascii="Helvetica" w:hAnsi="Helvetica"/>
      <w:i/>
    </w:rPr>
  </w:style>
  <w:style w:type="paragraph" w:customStyle="1" w:styleId="title">
    <w:name w:val="title"/>
    <w:basedOn w:val="Normal"/>
    <w:pPr>
      <w:pBdr>
        <w:top w:val="single" w:sz="6" w:space="4" w:color="auto"/>
      </w:pBdr>
      <w:spacing w:before="0"/>
      <w:jc w:val="right"/>
    </w:pPr>
    <w:rPr>
      <w:rFonts w:ascii="Textile" w:hAnsi="Textile"/>
      <w:sz w:val="32"/>
    </w:rPr>
  </w:style>
  <w:style w:type="paragraph" w:customStyle="1" w:styleId="indent">
    <w:name w:val="indent"/>
    <w:basedOn w:val="Normal"/>
    <w:pPr>
      <w:tabs>
        <w:tab w:val="clear" w:pos="360"/>
      </w:tabs>
      <w:ind w:left="720" w:hanging="360"/>
      <w:jc w:val="left"/>
    </w:pPr>
  </w:style>
  <w:style w:type="paragraph" w:customStyle="1" w:styleId="hang">
    <w:name w:val="hang"/>
    <w:basedOn w:val="Normal"/>
    <w:pPr>
      <w:tabs>
        <w:tab w:val="clear" w:pos="360"/>
      </w:tabs>
      <w:ind w:left="360" w:hanging="360"/>
      <w:jc w:val="left"/>
    </w:pPr>
  </w:style>
  <w:style w:type="paragraph" w:customStyle="1" w:styleId="subhead">
    <w:name w:val="subhead"/>
    <w:basedOn w:val="Normal"/>
    <w:pPr>
      <w:spacing w:before="200"/>
      <w:jc w:val="left"/>
    </w:pPr>
    <w:rPr>
      <w:rFonts w:ascii="Helvetica" w:hAnsi="Helvetica"/>
      <w:sz w:val="26"/>
    </w:rPr>
  </w:style>
  <w:style w:type="paragraph" w:customStyle="1" w:styleId="week">
    <w:name w:val="week"/>
    <w:basedOn w:val="Normal"/>
    <w:pPr>
      <w:spacing w:before="200"/>
      <w:jc w:val="center"/>
    </w:pPr>
    <w:rPr>
      <w:b/>
    </w:rPr>
  </w:style>
  <w:style w:type="paragraph" w:customStyle="1" w:styleId="Test">
    <w:name w:val="Test"/>
    <w:basedOn w:val="Normal"/>
    <w:pPr>
      <w:tabs>
        <w:tab w:val="clear" w:pos="360"/>
      </w:tabs>
      <w:spacing w:before="0"/>
      <w:ind w:left="720" w:hanging="360"/>
      <w:jc w:val="left"/>
    </w:pPr>
  </w:style>
  <w:style w:type="paragraph" w:customStyle="1" w:styleId="Indent0">
    <w:name w:val="Indent"/>
    <w:basedOn w:val="Normal"/>
    <w:pPr>
      <w:tabs>
        <w:tab w:val="left" w:pos="720"/>
        <w:tab w:val="left" w:pos="1080"/>
      </w:tabs>
      <w:spacing w:before="0"/>
      <w:ind w:left="360" w:hanging="360"/>
      <w:jc w:val="left"/>
    </w:pPr>
  </w:style>
  <w:style w:type="paragraph" w:customStyle="1" w:styleId="Indent2">
    <w:name w:val="Indent 2"/>
    <w:basedOn w:val="Indent0"/>
    <w:pPr>
      <w:tabs>
        <w:tab w:val="clear" w:pos="360"/>
      </w:tabs>
      <w:ind w:left="720"/>
    </w:pPr>
  </w:style>
  <w:style w:type="paragraph" w:customStyle="1" w:styleId="center">
    <w:name w:val="center"/>
    <w:basedOn w:val="Normal"/>
    <w:pPr>
      <w:tabs>
        <w:tab w:val="clear" w:pos="360"/>
        <w:tab w:val="center" w:pos="5040"/>
      </w:tabs>
      <w:spacing w:before="0"/>
      <w:jc w:val="left"/>
    </w:pPr>
  </w:style>
  <w:style w:type="paragraph" w:customStyle="1" w:styleId="Testindent">
    <w:name w:val="Test indent"/>
    <w:basedOn w:val="Normal"/>
    <w:pPr>
      <w:tabs>
        <w:tab w:val="clear" w:pos="360"/>
      </w:tabs>
      <w:spacing w:before="0"/>
      <w:ind w:left="1080" w:hanging="360"/>
      <w:jc w:val="left"/>
    </w:pPr>
  </w:style>
  <w:style w:type="paragraph" w:customStyle="1" w:styleId="MacroText1">
    <w:name w:val="Macro Text1"/>
    <w:basedOn w:val="Normal"/>
    <w:pPr>
      <w:tabs>
        <w:tab w:val="clear" w:pos="360"/>
      </w:tabs>
      <w:spacing w:before="0"/>
      <w:jc w:val="left"/>
    </w:pPr>
  </w:style>
  <w:style w:type="paragraph" w:styleId="BodyTextIndent">
    <w:name w:val="Body Text Indent"/>
    <w:basedOn w:val="Normal"/>
    <w:pPr>
      <w:tabs>
        <w:tab w:val="clear" w:pos="360"/>
      </w:tabs>
      <w:spacing w:before="0"/>
      <w:jc w:val="left"/>
    </w:pPr>
  </w:style>
  <w:style w:type="paragraph" w:customStyle="1" w:styleId="heading">
    <w:name w:val="heading"/>
    <w:basedOn w:val="Normal"/>
    <w:pPr>
      <w:pBdr>
        <w:top w:val="single" w:sz="6" w:space="12" w:color="auto"/>
      </w:pBdr>
      <w:tabs>
        <w:tab w:val="clear" w:pos="360"/>
        <w:tab w:val="left" w:pos="240"/>
        <w:tab w:val="left" w:pos="480"/>
        <w:tab w:val="left" w:pos="1080"/>
      </w:tabs>
      <w:spacing w:before="0" w:after="400"/>
      <w:jc w:val="right"/>
    </w:pPr>
    <w:rPr>
      <w:rFonts w:ascii="Textile" w:hAnsi="Textile"/>
      <w:sz w:val="32"/>
    </w:rPr>
  </w:style>
  <w:style w:type="paragraph" w:styleId="BalloonText">
    <w:name w:val="Balloon Text"/>
    <w:basedOn w:val="Normal"/>
    <w:semiHidden/>
    <w:rsid w:val="00631621"/>
    <w:rPr>
      <w:rFonts w:ascii="Lucida Grande" w:hAnsi="Lucida Grande"/>
      <w:sz w:val="18"/>
      <w:szCs w:val="18"/>
    </w:rPr>
  </w:style>
  <w:style w:type="character" w:styleId="Hyperlink">
    <w:name w:val="Hyperlink"/>
    <w:basedOn w:val="DefaultParagraphFont"/>
    <w:rsid w:val="0019698F"/>
    <w:rPr>
      <w:color w:val="0000FF"/>
      <w:u w:val="single"/>
    </w:rPr>
  </w:style>
  <w:style w:type="character" w:styleId="FollowedHyperlink">
    <w:name w:val="FollowedHyperlink"/>
    <w:basedOn w:val="DefaultParagraphFont"/>
    <w:rsid w:val="00DB61E2"/>
    <w:rPr>
      <w:color w:val="800080"/>
      <w:u w:val="single"/>
    </w:rPr>
  </w:style>
  <w:style w:type="table" w:styleId="TableGrid">
    <w:name w:val="Table Grid"/>
    <w:basedOn w:val="TableNormal"/>
    <w:rsid w:val="002F405D"/>
    <w:pPr>
      <w:tabs>
        <w:tab w:val="left" w:pos="360"/>
      </w:tabs>
      <w:spacing w:before="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63B"/>
    <w:pPr>
      <w:ind w:left="720"/>
      <w:contextualSpacing/>
    </w:pPr>
  </w:style>
  <w:style w:type="paragraph" w:styleId="FootnoteText">
    <w:name w:val="footnote text"/>
    <w:basedOn w:val="Normal"/>
    <w:link w:val="FootnoteTextChar"/>
    <w:uiPriority w:val="99"/>
    <w:unhideWhenUsed/>
    <w:rsid w:val="00A3603C"/>
    <w:pPr>
      <w:spacing w:before="0"/>
    </w:pPr>
    <w:rPr>
      <w:sz w:val="24"/>
      <w:szCs w:val="24"/>
    </w:rPr>
  </w:style>
  <w:style w:type="character" w:customStyle="1" w:styleId="FootnoteTextChar">
    <w:name w:val="Footnote Text Char"/>
    <w:basedOn w:val="DefaultParagraphFont"/>
    <w:link w:val="FootnoteText"/>
    <w:uiPriority w:val="99"/>
    <w:rsid w:val="00A3603C"/>
    <w:rPr>
      <w:rFonts w:ascii="New Century Schlbk" w:hAnsi="New Century Schlbk"/>
      <w:sz w:val="24"/>
      <w:szCs w:val="24"/>
    </w:rPr>
  </w:style>
  <w:style w:type="character" w:styleId="FootnoteReference">
    <w:name w:val="footnote reference"/>
    <w:basedOn w:val="DefaultParagraphFont"/>
    <w:uiPriority w:val="99"/>
    <w:unhideWhenUsed/>
    <w:rsid w:val="00A3603C"/>
    <w:rPr>
      <w:vertAlign w:val="superscript"/>
    </w:rPr>
  </w:style>
  <w:style w:type="paragraph" w:styleId="NoSpacing">
    <w:name w:val="No Spacing"/>
    <w:uiPriority w:val="1"/>
    <w:qFormat/>
    <w:rsid w:val="009D42EA"/>
    <w:rPr>
      <w:rFonts w:ascii="Times New Roman" w:eastAsiaTheme="minorHAnsi" w:hAnsi="Times New Roman"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20"/>
    <w:pPr>
      <w:tabs>
        <w:tab w:val="left" w:pos="360"/>
      </w:tabs>
      <w:spacing w:before="40"/>
      <w:jc w:val="both"/>
    </w:pPr>
    <w:rPr>
      <w:rFonts w:ascii="New Century Schlbk" w:hAnsi="New Century Schlbk"/>
      <w:sz w:val="22"/>
    </w:rPr>
  </w:style>
  <w:style w:type="paragraph" w:styleId="Heading1">
    <w:name w:val="heading 1"/>
    <w:basedOn w:val="Normal"/>
    <w:next w:val="Normal"/>
    <w:qFormat/>
    <w:pPr>
      <w:ind w:left="360" w:hanging="360"/>
      <w:outlineLvl w:val="0"/>
    </w:pPr>
  </w:style>
  <w:style w:type="paragraph" w:styleId="Heading2">
    <w:name w:val="heading 2"/>
    <w:basedOn w:val="Normal"/>
    <w:next w:val="Normal"/>
    <w:qFormat/>
    <w:pPr>
      <w:ind w:left="7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left" w:leader="dot" w:pos="8280"/>
        <w:tab w:val="right" w:pos="8640"/>
      </w:tabs>
      <w:ind w:right="720"/>
    </w:pPr>
  </w:style>
  <w:style w:type="paragraph" w:styleId="Footer">
    <w:name w:val="footer"/>
    <w:basedOn w:val="Normal"/>
    <w:pPr>
      <w:tabs>
        <w:tab w:val="clear" w:pos="360"/>
        <w:tab w:val="center" w:pos="4680"/>
        <w:tab w:val="right" w:pos="9360"/>
      </w:tabs>
    </w:pPr>
    <w:rPr>
      <w:rFonts w:ascii="Helvetica" w:hAnsi="Helvetica"/>
    </w:rPr>
  </w:style>
  <w:style w:type="paragraph" w:styleId="Header">
    <w:name w:val="header"/>
    <w:basedOn w:val="Normal"/>
    <w:pPr>
      <w:tabs>
        <w:tab w:val="clear" w:pos="360"/>
        <w:tab w:val="center" w:pos="4680"/>
        <w:tab w:val="right" w:pos="9360"/>
      </w:tabs>
    </w:pPr>
    <w:rPr>
      <w:rFonts w:ascii="Helvetica" w:hAnsi="Helvetica"/>
      <w:i/>
    </w:rPr>
  </w:style>
  <w:style w:type="paragraph" w:customStyle="1" w:styleId="title">
    <w:name w:val="title"/>
    <w:basedOn w:val="Normal"/>
    <w:pPr>
      <w:pBdr>
        <w:top w:val="single" w:sz="6" w:space="4" w:color="auto"/>
      </w:pBdr>
      <w:spacing w:before="0"/>
      <w:jc w:val="right"/>
    </w:pPr>
    <w:rPr>
      <w:rFonts w:ascii="Textile" w:hAnsi="Textile"/>
      <w:sz w:val="32"/>
    </w:rPr>
  </w:style>
  <w:style w:type="paragraph" w:customStyle="1" w:styleId="indent">
    <w:name w:val="indent"/>
    <w:basedOn w:val="Normal"/>
    <w:pPr>
      <w:tabs>
        <w:tab w:val="clear" w:pos="360"/>
      </w:tabs>
      <w:ind w:left="720" w:hanging="360"/>
      <w:jc w:val="left"/>
    </w:pPr>
  </w:style>
  <w:style w:type="paragraph" w:customStyle="1" w:styleId="hang">
    <w:name w:val="hang"/>
    <w:basedOn w:val="Normal"/>
    <w:pPr>
      <w:tabs>
        <w:tab w:val="clear" w:pos="360"/>
      </w:tabs>
      <w:ind w:left="360" w:hanging="360"/>
      <w:jc w:val="left"/>
    </w:pPr>
  </w:style>
  <w:style w:type="paragraph" w:customStyle="1" w:styleId="subhead">
    <w:name w:val="subhead"/>
    <w:basedOn w:val="Normal"/>
    <w:pPr>
      <w:spacing w:before="200"/>
      <w:jc w:val="left"/>
    </w:pPr>
    <w:rPr>
      <w:rFonts w:ascii="Helvetica" w:hAnsi="Helvetica"/>
      <w:sz w:val="26"/>
    </w:rPr>
  </w:style>
  <w:style w:type="paragraph" w:customStyle="1" w:styleId="week">
    <w:name w:val="week"/>
    <w:basedOn w:val="Normal"/>
    <w:pPr>
      <w:spacing w:before="200"/>
      <w:jc w:val="center"/>
    </w:pPr>
    <w:rPr>
      <w:b/>
    </w:rPr>
  </w:style>
  <w:style w:type="paragraph" w:customStyle="1" w:styleId="Test">
    <w:name w:val="Test"/>
    <w:basedOn w:val="Normal"/>
    <w:pPr>
      <w:tabs>
        <w:tab w:val="clear" w:pos="360"/>
      </w:tabs>
      <w:spacing w:before="0"/>
      <w:ind w:left="720" w:hanging="360"/>
      <w:jc w:val="left"/>
    </w:pPr>
  </w:style>
  <w:style w:type="paragraph" w:customStyle="1" w:styleId="Indent0">
    <w:name w:val="Indent"/>
    <w:basedOn w:val="Normal"/>
    <w:pPr>
      <w:tabs>
        <w:tab w:val="left" w:pos="720"/>
        <w:tab w:val="left" w:pos="1080"/>
      </w:tabs>
      <w:spacing w:before="0"/>
      <w:ind w:left="360" w:hanging="360"/>
      <w:jc w:val="left"/>
    </w:pPr>
  </w:style>
  <w:style w:type="paragraph" w:customStyle="1" w:styleId="Indent2">
    <w:name w:val="Indent 2"/>
    <w:basedOn w:val="Indent0"/>
    <w:pPr>
      <w:tabs>
        <w:tab w:val="clear" w:pos="360"/>
      </w:tabs>
      <w:ind w:left="720"/>
    </w:pPr>
  </w:style>
  <w:style w:type="paragraph" w:customStyle="1" w:styleId="center">
    <w:name w:val="center"/>
    <w:basedOn w:val="Normal"/>
    <w:pPr>
      <w:tabs>
        <w:tab w:val="clear" w:pos="360"/>
        <w:tab w:val="center" w:pos="5040"/>
      </w:tabs>
      <w:spacing w:before="0"/>
      <w:jc w:val="left"/>
    </w:pPr>
  </w:style>
  <w:style w:type="paragraph" w:customStyle="1" w:styleId="Testindent">
    <w:name w:val="Test indent"/>
    <w:basedOn w:val="Normal"/>
    <w:pPr>
      <w:tabs>
        <w:tab w:val="clear" w:pos="360"/>
      </w:tabs>
      <w:spacing w:before="0"/>
      <w:ind w:left="1080" w:hanging="360"/>
      <w:jc w:val="left"/>
    </w:pPr>
  </w:style>
  <w:style w:type="paragraph" w:customStyle="1" w:styleId="MacroText1">
    <w:name w:val="Macro Text1"/>
    <w:basedOn w:val="Normal"/>
    <w:pPr>
      <w:tabs>
        <w:tab w:val="clear" w:pos="360"/>
      </w:tabs>
      <w:spacing w:before="0"/>
      <w:jc w:val="left"/>
    </w:pPr>
  </w:style>
  <w:style w:type="paragraph" w:styleId="BodyTextIndent">
    <w:name w:val="Body Text Indent"/>
    <w:basedOn w:val="Normal"/>
    <w:pPr>
      <w:tabs>
        <w:tab w:val="clear" w:pos="360"/>
      </w:tabs>
      <w:spacing w:before="0"/>
      <w:jc w:val="left"/>
    </w:pPr>
  </w:style>
  <w:style w:type="paragraph" w:customStyle="1" w:styleId="heading">
    <w:name w:val="heading"/>
    <w:basedOn w:val="Normal"/>
    <w:pPr>
      <w:pBdr>
        <w:top w:val="single" w:sz="6" w:space="12" w:color="auto"/>
      </w:pBdr>
      <w:tabs>
        <w:tab w:val="clear" w:pos="360"/>
        <w:tab w:val="left" w:pos="240"/>
        <w:tab w:val="left" w:pos="480"/>
        <w:tab w:val="left" w:pos="1080"/>
      </w:tabs>
      <w:spacing w:before="0" w:after="400"/>
      <w:jc w:val="right"/>
    </w:pPr>
    <w:rPr>
      <w:rFonts w:ascii="Textile" w:hAnsi="Textile"/>
      <w:sz w:val="32"/>
    </w:rPr>
  </w:style>
  <w:style w:type="paragraph" w:styleId="BalloonText">
    <w:name w:val="Balloon Text"/>
    <w:basedOn w:val="Normal"/>
    <w:semiHidden/>
    <w:rsid w:val="00631621"/>
    <w:rPr>
      <w:rFonts w:ascii="Lucida Grande" w:hAnsi="Lucida Grande"/>
      <w:sz w:val="18"/>
      <w:szCs w:val="18"/>
    </w:rPr>
  </w:style>
  <w:style w:type="character" w:styleId="Hyperlink">
    <w:name w:val="Hyperlink"/>
    <w:basedOn w:val="DefaultParagraphFont"/>
    <w:rsid w:val="0019698F"/>
    <w:rPr>
      <w:color w:val="0000FF"/>
      <w:u w:val="single"/>
    </w:rPr>
  </w:style>
  <w:style w:type="character" w:styleId="FollowedHyperlink">
    <w:name w:val="FollowedHyperlink"/>
    <w:basedOn w:val="DefaultParagraphFont"/>
    <w:rsid w:val="00DB61E2"/>
    <w:rPr>
      <w:color w:val="800080"/>
      <w:u w:val="single"/>
    </w:rPr>
  </w:style>
  <w:style w:type="table" w:styleId="TableGrid">
    <w:name w:val="Table Grid"/>
    <w:basedOn w:val="TableNormal"/>
    <w:rsid w:val="002F405D"/>
    <w:pPr>
      <w:tabs>
        <w:tab w:val="left" w:pos="360"/>
      </w:tabs>
      <w:spacing w:before="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63B"/>
    <w:pPr>
      <w:ind w:left="720"/>
      <w:contextualSpacing/>
    </w:pPr>
  </w:style>
  <w:style w:type="paragraph" w:styleId="FootnoteText">
    <w:name w:val="footnote text"/>
    <w:basedOn w:val="Normal"/>
    <w:link w:val="FootnoteTextChar"/>
    <w:uiPriority w:val="99"/>
    <w:unhideWhenUsed/>
    <w:rsid w:val="00A3603C"/>
    <w:pPr>
      <w:spacing w:before="0"/>
    </w:pPr>
    <w:rPr>
      <w:sz w:val="24"/>
      <w:szCs w:val="24"/>
    </w:rPr>
  </w:style>
  <w:style w:type="character" w:customStyle="1" w:styleId="FootnoteTextChar">
    <w:name w:val="Footnote Text Char"/>
    <w:basedOn w:val="DefaultParagraphFont"/>
    <w:link w:val="FootnoteText"/>
    <w:uiPriority w:val="99"/>
    <w:rsid w:val="00A3603C"/>
    <w:rPr>
      <w:rFonts w:ascii="New Century Schlbk" w:hAnsi="New Century Schlbk"/>
      <w:sz w:val="24"/>
      <w:szCs w:val="24"/>
    </w:rPr>
  </w:style>
  <w:style w:type="character" w:styleId="FootnoteReference">
    <w:name w:val="footnote reference"/>
    <w:basedOn w:val="DefaultParagraphFont"/>
    <w:uiPriority w:val="99"/>
    <w:unhideWhenUsed/>
    <w:rsid w:val="00A3603C"/>
    <w:rPr>
      <w:vertAlign w:val="superscript"/>
    </w:rPr>
  </w:style>
  <w:style w:type="paragraph" w:styleId="NoSpacing">
    <w:name w:val="No Spacing"/>
    <w:uiPriority w:val="1"/>
    <w:qFormat/>
    <w:rsid w:val="009D42EA"/>
    <w:rPr>
      <w:rFonts w:ascii="Times New Roman" w:eastAsiaTheme="minorHAnsi" w:hAnsi="Times New Roman"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6387">
      <w:bodyDiv w:val="1"/>
      <w:marLeft w:val="0"/>
      <w:marRight w:val="0"/>
      <w:marTop w:val="0"/>
      <w:marBottom w:val="0"/>
      <w:divBdr>
        <w:top w:val="none" w:sz="0" w:space="0" w:color="auto"/>
        <w:left w:val="none" w:sz="0" w:space="0" w:color="auto"/>
        <w:bottom w:val="none" w:sz="0" w:space="0" w:color="auto"/>
        <w:right w:val="none" w:sz="0" w:space="0" w:color="auto"/>
      </w:divBdr>
    </w:div>
    <w:div w:id="1709797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1DE9-06CC-434E-A36F-DE9251C3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Chemistry 220     Chemical Equilibrium</vt:lpstr>
    </vt:vector>
  </TitlesOfParts>
  <Company>Beloit College</Company>
  <LinksUpToDate>false</LinksUpToDate>
  <CharactersWithSpaces>2434</CharactersWithSpaces>
  <SharedDoc>false</SharedDoc>
  <HLinks>
    <vt:vector size="144" baseType="variant">
      <vt:variant>
        <vt:i4>2293886</vt:i4>
      </vt:variant>
      <vt:variant>
        <vt:i4>42</vt:i4>
      </vt:variant>
      <vt:variant>
        <vt:i4>0</vt:i4>
      </vt:variant>
      <vt:variant>
        <vt:i4>5</vt:i4>
      </vt:variant>
      <vt:variant>
        <vt:lpwstr>http://wiki.voltammetry.net/pine/aftermath</vt:lpwstr>
      </vt:variant>
      <vt:variant>
        <vt:lpwstr/>
      </vt:variant>
      <vt:variant>
        <vt:i4>7208966</vt:i4>
      </vt:variant>
      <vt:variant>
        <vt:i4>39</vt:i4>
      </vt:variant>
      <vt:variant>
        <vt:i4>0</vt:i4>
      </vt:variant>
      <vt:variant>
        <vt:i4>5</vt:i4>
      </vt:variant>
      <vt:variant>
        <vt:lpwstr>http://chemistry.beloit.edu/classes/excel/std_addition.xls</vt:lpwstr>
      </vt:variant>
      <vt:variant>
        <vt:lpwstr/>
      </vt:variant>
      <vt:variant>
        <vt:i4>393286</vt:i4>
      </vt:variant>
      <vt:variant>
        <vt:i4>36</vt:i4>
      </vt:variant>
      <vt:variant>
        <vt:i4>0</vt:i4>
      </vt:variant>
      <vt:variant>
        <vt:i4>5</vt:i4>
      </vt:variant>
      <vt:variant>
        <vt:lpwstr>http://chemistry.beloit.edu/classes/excel/aa.xls</vt:lpwstr>
      </vt:variant>
      <vt:variant>
        <vt:lpwstr/>
      </vt:variant>
      <vt:variant>
        <vt:i4>4718633</vt:i4>
      </vt:variant>
      <vt:variant>
        <vt:i4>12</vt:i4>
      </vt:variant>
      <vt:variant>
        <vt:i4>0</vt:i4>
      </vt:variant>
      <vt:variant>
        <vt:i4>5</vt:i4>
      </vt:variant>
      <vt:variant>
        <vt:lpwstr>http://chemistry.beloit.edu/classes/excel/pH_titration.xls</vt:lpwstr>
      </vt:variant>
      <vt:variant>
        <vt:lpwstr/>
      </vt:variant>
      <vt:variant>
        <vt:i4>2162730</vt:i4>
      </vt:variant>
      <vt:variant>
        <vt:i4>9</vt:i4>
      </vt:variant>
      <vt:variant>
        <vt:i4>0</vt:i4>
      </vt:variant>
      <vt:variant>
        <vt:i4>5</vt:i4>
      </vt:variant>
      <vt:variant>
        <vt:lpwstr>http://chemistry.beloit.edu/classes/excel/volts_titration.xls</vt:lpwstr>
      </vt:variant>
      <vt:variant>
        <vt:lpwstr/>
      </vt:variant>
      <vt:variant>
        <vt:i4>6619142</vt:i4>
      </vt:variant>
      <vt:variant>
        <vt:i4>12607</vt:i4>
      </vt:variant>
      <vt:variant>
        <vt:i4>1046</vt:i4>
      </vt:variant>
      <vt:variant>
        <vt:i4>1</vt:i4>
      </vt:variant>
      <vt:variant>
        <vt:lpwstr>login</vt:lpwstr>
      </vt:variant>
      <vt:variant>
        <vt:lpwstr/>
      </vt:variant>
      <vt:variant>
        <vt:i4>6029428</vt:i4>
      </vt:variant>
      <vt:variant>
        <vt:i4>12927</vt:i4>
      </vt:variant>
      <vt:variant>
        <vt:i4>1047</vt:i4>
      </vt:variant>
      <vt:variant>
        <vt:i4>1</vt:i4>
      </vt:variant>
      <vt:variant>
        <vt:lpwstr>selected experiment</vt:lpwstr>
      </vt:variant>
      <vt:variant>
        <vt:lpwstr/>
      </vt:variant>
      <vt:variant>
        <vt:i4>6029413</vt:i4>
      </vt:variant>
      <vt:variant>
        <vt:i4>12930</vt:i4>
      </vt:variant>
      <vt:variant>
        <vt:i4>1048</vt:i4>
      </vt:variant>
      <vt:variant>
        <vt:i4>1</vt:i4>
      </vt:variant>
      <vt:variant>
        <vt:lpwstr>change password</vt:lpwstr>
      </vt:variant>
      <vt:variant>
        <vt:lpwstr/>
      </vt:variant>
      <vt:variant>
        <vt:i4>5701662</vt:i4>
      </vt:variant>
      <vt:variant>
        <vt:i4>13162</vt:i4>
      </vt:variant>
      <vt:variant>
        <vt:i4>1049</vt:i4>
      </vt:variant>
      <vt:variant>
        <vt:i4>1</vt:i4>
      </vt:variant>
      <vt:variant>
        <vt:lpwstr>your_name</vt:lpwstr>
      </vt:variant>
      <vt:variant>
        <vt:lpwstr/>
      </vt:variant>
      <vt:variant>
        <vt:i4>1048637</vt:i4>
      </vt:variant>
      <vt:variant>
        <vt:i4>13165</vt:i4>
      </vt:variant>
      <vt:variant>
        <vt:i4>1050</vt:i4>
      </vt:variant>
      <vt:variant>
        <vt:i4>1</vt:i4>
      </vt:variant>
      <vt:variant>
        <vt:lpwstr>pipet_arrows</vt:lpwstr>
      </vt:variant>
      <vt:variant>
        <vt:lpwstr/>
      </vt:variant>
      <vt:variant>
        <vt:i4>6750334</vt:i4>
      </vt:variant>
      <vt:variant>
        <vt:i4>35678</vt:i4>
      </vt:variant>
      <vt:variant>
        <vt:i4>1051</vt:i4>
      </vt:variant>
      <vt:variant>
        <vt:i4>1</vt:i4>
      </vt:variant>
      <vt:variant>
        <vt:lpwstr>Beloit</vt:lpwstr>
      </vt:variant>
      <vt:variant>
        <vt:lpwstr/>
      </vt:variant>
      <vt:variant>
        <vt:i4>8257561</vt:i4>
      </vt:variant>
      <vt:variant>
        <vt:i4>38356</vt:i4>
      </vt:variant>
      <vt:variant>
        <vt:i4>1052</vt:i4>
      </vt:variant>
      <vt:variant>
        <vt:i4>1</vt:i4>
      </vt:variant>
      <vt:variant>
        <vt:lpwstr>electrode</vt:lpwstr>
      </vt:variant>
      <vt:variant>
        <vt:lpwstr/>
      </vt:variant>
      <vt:variant>
        <vt:i4>3997705</vt:i4>
      </vt:variant>
      <vt:variant>
        <vt:i4>67107</vt:i4>
      </vt:variant>
      <vt:variant>
        <vt:i4>1029</vt:i4>
      </vt:variant>
      <vt:variant>
        <vt:i4>1</vt:i4>
      </vt:variant>
      <vt:variant>
        <vt:lpwstr>cell2</vt:lpwstr>
      </vt:variant>
      <vt:variant>
        <vt:lpwstr/>
      </vt:variant>
      <vt:variant>
        <vt:i4>8257579</vt:i4>
      </vt:variant>
      <vt:variant>
        <vt:i4>80628</vt:i4>
      </vt:variant>
      <vt:variant>
        <vt:i4>1041</vt:i4>
      </vt:variant>
      <vt:variant>
        <vt:i4>1</vt:i4>
      </vt:variant>
      <vt:variant>
        <vt:lpwstr>electrode2</vt:lpwstr>
      </vt:variant>
      <vt:variant>
        <vt:lpwstr/>
      </vt:variant>
      <vt:variant>
        <vt:i4>7209003</vt:i4>
      </vt:variant>
      <vt:variant>
        <vt:i4>101240</vt:i4>
      </vt:variant>
      <vt:variant>
        <vt:i4>1042</vt:i4>
      </vt:variant>
      <vt:variant>
        <vt:i4>1</vt:i4>
      </vt:variant>
      <vt:variant>
        <vt:lpwstr>aftermath1</vt:lpwstr>
      </vt:variant>
      <vt:variant>
        <vt:lpwstr/>
      </vt:variant>
      <vt:variant>
        <vt:i4>7209000</vt:i4>
      </vt:variant>
      <vt:variant>
        <vt:i4>101243</vt:i4>
      </vt:variant>
      <vt:variant>
        <vt:i4>1043</vt:i4>
      </vt:variant>
      <vt:variant>
        <vt:i4>1</vt:i4>
      </vt:variant>
      <vt:variant>
        <vt:lpwstr>aftermath2</vt:lpwstr>
      </vt:variant>
      <vt:variant>
        <vt:lpwstr/>
      </vt:variant>
      <vt:variant>
        <vt:i4>1310783</vt:i4>
      </vt:variant>
      <vt:variant>
        <vt:i4>102211</vt:i4>
      </vt:variant>
      <vt:variant>
        <vt:i4>1044</vt:i4>
      </vt:variant>
      <vt:variant>
        <vt:i4>1</vt:i4>
      </vt:variant>
      <vt:variant>
        <vt:lpwstr>Screen shot 2011-01-16 at 6</vt:lpwstr>
      </vt:variant>
      <vt:variant>
        <vt:lpwstr/>
      </vt:variant>
      <vt:variant>
        <vt:i4>1310783</vt:i4>
      </vt:variant>
      <vt:variant>
        <vt:i4>102213</vt:i4>
      </vt:variant>
      <vt:variant>
        <vt:i4>1045</vt:i4>
      </vt:variant>
      <vt:variant>
        <vt:i4>1</vt:i4>
      </vt:variant>
      <vt:variant>
        <vt:lpwstr>Screen shot 2011-01-16 at 6</vt:lpwstr>
      </vt:variant>
      <vt:variant>
        <vt:lpwstr/>
      </vt:variant>
      <vt:variant>
        <vt:i4>1245255</vt:i4>
      </vt:variant>
      <vt:variant>
        <vt:i4>102404</vt:i4>
      </vt:variant>
      <vt:variant>
        <vt:i4>1053</vt:i4>
      </vt:variant>
      <vt:variant>
        <vt:i4>1</vt:i4>
      </vt:variant>
      <vt:variant>
        <vt:lpwstr>selection_tools</vt:lpwstr>
      </vt:variant>
      <vt:variant>
        <vt:lpwstr/>
      </vt:variant>
      <vt:variant>
        <vt:i4>6946860</vt:i4>
      </vt:variant>
      <vt:variant>
        <vt:i4>122778</vt:i4>
      </vt:variant>
      <vt:variant>
        <vt:i4>1054</vt:i4>
      </vt:variant>
      <vt:variant>
        <vt:i4>1</vt:i4>
      </vt:variant>
      <vt:variant>
        <vt:lpwstr>excel1</vt:lpwstr>
      </vt:variant>
      <vt:variant>
        <vt:lpwstr/>
      </vt:variant>
      <vt:variant>
        <vt:i4>6946856</vt:i4>
      </vt:variant>
      <vt:variant>
        <vt:i4>122917</vt:i4>
      </vt:variant>
      <vt:variant>
        <vt:i4>1055</vt:i4>
      </vt:variant>
      <vt:variant>
        <vt:i4>1</vt:i4>
      </vt:variant>
      <vt:variant>
        <vt:lpwstr>excel5</vt:lpwstr>
      </vt:variant>
      <vt:variant>
        <vt:lpwstr/>
      </vt:variant>
      <vt:variant>
        <vt:i4>6946857</vt:i4>
      </vt:variant>
      <vt:variant>
        <vt:i4>124718</vt:i4>
      </vt:variant>
      <vt:variant>
        <vt:i4>1056</vt:i4>
      </vt:variant>
      <vt:variant>
        <vt:i4>1</vt:i4>
      </vt:variant>
      <vt:variant>
        <vt:lpwstr>excel4</vt:lpwstr>
      </vt:variant>
      <vt:variant>
        <vt:lpwstr/>
      </vt:variant>
      <vt:variant>
        <vt:i4>6946859</vt:i4>
      </vt:variant>
      <vt:variant>
        <vt:i4>125046</vt:i4>
      </vt:variant>
      <vt:variant>
        <vt:i4>1057</vt:i4>
      </vt:variant>
      <vt:variant>
        <vt:i4>1</vt:i4>
      </vt:variant>
      <vt:variant>
        <vt:lpwstr>excel6</vt:lpwstr>
      </vt:variant>
      <vt:variant>
        <vt:lpwstr/>
      </vt:variant>
      <vt:variant>
        <vt:i4>6946858</vt:i4>
      </vt:variant>
      <vt:variant>
        <vt:i4>125064</vt:i4>
      </vt:variant>
      <vt:variant>
        <vt:i4>1058</vt:i4>
      </vt:variant>
      <vt:variant>
        <vt:i4>1</vt:i4>
      </vt:variant>
      <vt:variant>
        <vt:lpwstr>excel7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220     Chemical Equilibrium</dc:title>
  <dc:subject/>
  <dc:creator>Lisensky</dc:creator>
  <cp:keywords/>
  <cp:lastModifiedBy>George Lisensky</cp:lastModifiedBy>
  <cp:revision>2</cp:revision>
  <cp:lastPrinted>2018-04-12T13:22:00Z</cp:lastPrinted>
  <dcterms:created xsi:type="dcterms:W3CDTF">2018-07-18T22:58:00Z</dcterms:created>
  <dcterms:modified xsi:type="dcterms:W3CDTF">2018-07-18T22:58:00Z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